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commercial-technical-proposal"/>
    <w:p>
      <w:pPr>
        <w:pStyle w:val="Heading1"/>
      </w:pPr>
      <w:r>
        <w:t xml:space="preserve">COMMERCIAL &amp; TECHNICAL PROPOSAL</w:t>
      </w:r>
    </w:p>
    <w:bookmarkStart w:id="22" w:name="pet-license-management-system-plms"/>
    <w:p>
      <w:pPr>
        <w:pStyle w:val="Heading2"/>
      </w:pPr>
      <w:r>
        <w:t xml:space="preserve">PET LICENSE MANAGEMENT SYSTEM (PLMS)</w:t>
      </w:r>
    </w:p>
    <w:bookmarkStart w:id="20" w:name="submitted-to"/>
    <w:p>
      <w:pPr>
        <w:pStyle w:val="Heading3"/>
      </w:pPr>
      <w:r>
        <w:t xml:space="preserve">Submitted To</w:t>
      </w:r>
    </w:p>
    <w:p>
      <w:pPr>
        <w:pStyle w:val="FirstParagraph"/>
      </w:pPr>
      <w:r>
        <w:t xml:space="preserve">Gwalior Nagar Nigam</w:t>
      </w:r>
      <w:r>
        <w:br/>
      </w:r>
      <w:r>
        <w:t xml:space="preserve">Municipal Corporation, Gwalior</w:t>
      </w:r>
    </w:p>
    <w:bookmarkEnd w:id="20"/>
    <w:bookmarkStart w:id="21" w:name="submitted-by"/>
    <w:p>
      <w:pPr>
        <w:pStyle w:val="Heading3"/>
      </w:pPr>
      <w:r>
        <w:t xml:space="preserve">Submitted By</w:t>
      </w:r>
    </w:p>
    <w:p>
      <w:pPr>
        <w:pStyle w:val="FirstParagraph"/>
      </w:pPr>
      <w:r>
        <w:t xml:space="preserve">Technobazaar Pvt. Ltd.</w:t>
      </w:r>
      <w:r>
        <w:br/>
      </w:r>
      <w:r>
        <w:t xml:space="preserve">Gwalior, Madhya Pradesh</w:t>
      </w:r>
    </w:p>
    <w:p>
      <w:r>
        <w:pict>
          <v:rect style="width:0;height:1.5pt" o:hralign="center" o:hrstd="t" o:hr="t"/>
        </w:pict>
      </w:r>
    </w:p>
    <w:bookmarkEnd w:id="21"/>
    <w:bookmarkEnd w:id="22"/>
    <w:bookmarkEnd w:id="23"/>
    <w:bookmarkStart w:id="24" w:name="executive-summary"/>
    <w:p>
      <w:pPr>
        <w:pStyle w:val="Heading1"/>
      </w:pPr>
      <w:r>
        <w:t xml:space="preserve">1. Executive Summary</w:t>
      </w:r>
    </w:p>
    <w:p>
      <w:pPr>
        <w:pStyle w:val="FirstParagraph"/>
      </w:pPr>
      <w:r>
        <w:t xml:space="preserve">Technobazaar Pvt. Ltd. proposes the development of a centralized web-based Pet License Management System (PLMS) for Gwalior Nagar Nigam.</w:t>
      </w:r>
    </w:p>
    <w:p>
      <w:pPr>
        <w:pStyle w:val="BodyText"/>
      </w:pPr>
      <w:r>
        <w:t xml:space="preserve">The proposed solution will digitize the registration, renewal, payment collection, citizen services, reporting, and monitoring processes related to pet dog licensing within the municipal limits of Gwalior.</w:t>
      </w:r>
    </w:p>
    <w:p>
      <w:pPr>
        <w:pStyle w:val="BodyText"/>
      </w:pPr>
      <w:r>
        <w:t xml:space="preserve">The system will provide a secure, transparent, and user-friendly platform for citizens and municipal administrators while maintaining a comprehensive database of registered pet dogs and their owners.</w:t>
      </w:r>
    </w:p>
    <w:p>
      <w:r>
        <w:pict>
          <v:rect style="width:0;height:1.5pt" o:hralign="center" o:hrstd="t" o:hr="t"/>
        </w:pict>
      </w:r>
    </w:p>
    <w:bookmarkEnd w:id="24"/>
    <w:bookmarkStart w:id="25" w:name="project-objectives"/>
    <w:p>
      <w:pPr>
        <w:pStyle w:val="Heading1"/>
      </w:pPr>
      <w:r>
        <w:t xml:space="preserve">2. Project Objectives</w:t>
      </w:r>
    </w:p>
    <w:p>
      <w:pPr>
        <w:pStyle w:val="FirstParagraph"/>
      </w:pPr>
      <w:r>
        <w:t xml:space="preserve">The primary objectives of the proposed system are:</w:t>
      </w:r>
    </w:p>
    <w:p>
      <w:pPr>
        <w:pStyle w:val="Compact"/>
        <w:numPr>
          <w:ilvl w:val="0"/>
          <w:numId w:val="1001"/>
        </w:numPr>
      </w:pPr>
      <w:r>
        <w:t xml:space="preserve">Digitization of pet dog registration process.</w:t>
      </w:r>
    </w:p>
    <w:p>
      <w:pPr>
        <w:pStyle w:val="Compact"/>
        <w:numPr>
          <w:ilvl w:val="0"/>
          <w:numId w:val="1001"/>
        </w:numPr>
      </w:pPr>
      <w:r>
        <w:t xml:space="preserve">Centralized management of pet owner records.</w:t>
      </w:r>
    </w:p>
    <w:p>
      <w:pPr>
        <w:pStyle w:val="Compact"/>
        <w:numPr>
          <w:ilvl w:val="0"/>
          <w:numId w:val="1001"/>
        </w:numPr>
      </w:pPr>
      <w:r>
        <w:t xml:space="preserve">Annual registration renewal mechanism.</w:t>
      </w:r>
    </w:p>
    <w:p>
      <w:pPr>
        <w:pStyle w:val="Compact"/>
        <w:numPr>
          <w:ilvl w:val="0"/>
          <w:numId w:val="1001"/>
        </w:numPr>
      </w:pPr>
      <w:r>
        <w:t xml:space="preserve">Online and offline fee collection management.</w:t>
      </w:r>
    </w:p>
    <w:p>
      <w:pPr>
        <w:pStyle w:val="Compact"/>
        <w:numPr>
          <w:ilvl w:val="0"/>
          <w:numId w:val="1001"/>
        </w:numPr>
      </w:pPr>
      <w:r>
        <w:t xml:space="preserve">Automated SMS notifications and reminders.</w:t>
      </w:r>
    </w:p>
    <w:p>
      <w:pPr>
        <w:pStyle w:val="Compact"/>
        <w:numPr>
          <w:ilvl w:val="0"/>
          <w:numId w:val="1001"/>
        </w:numPr>
      </w:pPr>
      <w:r>
        <w:t xml:space="preserve">Real-time dashboard and reporting system.</w:t>
      </w:r>
    </w:p>
    <w:p>
      <w:pPr>
        <w:pStyle w:val="Compact"/>
        <w:numPr>
          <w:ilvl w:val="0"/>
          <w:numId w:val="1001"/>
        </w:numPr>
      </w:pPr>
      <w:r>
        <w:t xml:space="preserve">Improved citizen convenience and transparency.</w:t>
      </w:r>
    </w:p>
    <w:p>
      <w:pPr>
        <w:pStyle w:val="Compact"/>
        <w:numPr>
          <w:ilvl w:val="0"/>
          <w:numId w:val="1001"/>
        </w:numPr>
      </w:pPr>
      <w:r>
        <w:t xml:space="preserve">Revenue monitoring and management reporting.</w:t>
      </w:r>
    </w:p>
    <w:p>
      <w:r>
        <w:pict>
          <v:rect style="width:0;height:1.5pt" o:hralign="center" o:hrstd="t" o:hr="t"/>
        </w:pict>
      </w:r>
    </w:p>
    <w:bookmarkEnd w:id="25"/>
    <w:bookmarkStart w:id="44" w:name="business-requirement-document-brd"/>
    <w:p>
      <w:pPr>
        <w:pStyle w:val="Heading1"/>
      </w:pPr>
      <w:r>
        <w:t xml:space="preserve">3. Business Requirement Document (BRD)</w:t>
      </w:r>
    </w:p>
    <w:bookmarkStart w:id="26" w:name="citizen-portal"/>
    <w:p>
      <w:pPr>
        <w:pStyle w:val="Heading2"/>
      </w:pPr>
      <w:r>
        <w:t xml:space="preserve">3.1 Citizen Portal</w:t>
      </w:r>
    </w:p>
    <w:p>
      <w:pPr>
        <w:pStyle w:val="FirstParagraph"/>
      </w:pPr>
      <w:r>
        <w:t xml:space="preserve">Citizens shall be able to:</w:t>
      </w:r>
    </w:p>
    <w:p>
      <w:pPr>
        <w:pStyle w:val="Compact"/>
        <w:numPr>
          <w:ilvl w:val="0"/>
          <w:numId w:val="1002"/>
        </w:numPr>
      </w:pPr>
      <w:r>
        <w:t xml:space="preserve">Register themselves on the portal.</w:t>
      </w:r>
    </w:p>
    <w:p>
      <w:pPr>
        <w:pStyle w:val="Compact"/>
        <w:numPr>
          <w:ilvl w:val="0"/>
          <w:numId w:val="1002"/>
        </w:numPr>
      </w:pPr>
      <w:r>
        <w:t xml:space="preserve">Login securely.</w:t>
      </w:r>
    </w:p>
    <w:p>
      <w:pPr>
        <w:pStyle w:val="Compact"/>
        <w:numPr>
          <w:ilvl w:val="0"/>
          <w:numId w:val="1002"/>
        </w:numPr>
      </w:pPr>
      <w:r>
        <w:t xml:space="preserve">View their registered pets.</w:t>
      </w:r>
    </w:p>
    <w:p>
      <w:pPr>
        <w:pStyle w:val="Compact"/>
        <w:numPr>
          <w:ilvl w:val="0"/>
          <w:numId w:val="1002"/>
        </w:numPr>
      </w:pPr>
      <w:r>
        <w:t xml:space="preserve">Register new pet dogs.</w:t>
      </w:r>
    </w:p>
    <w:p>
      <w:pPr>
        <w:pStyle w:val="Compact"/>
        <w:numPr>
          <w:ilvl w:val="0"/>
          <w:numId w:val="1002"/>
        </w:numPr>
      </w:pPr>
      <w:r>
        <w:t xml:space="preserve">Upload pet photographs.</w:t>
      </w:r>
    </w:p>
    <w:p>
      <w:pPr>
        <w:pStyle w:val="Compact"/>
        <w:numPr>
          <w:ilvl w:val="0"/>
          <w:numId w:val="1002"/>
        </w:numPr>
      </w:pPr>
      <w:r>
        <w:t xml:space="preserve">View registration certificates.</w:t>
      </w:r>
    </w:p>
    <w:p>
      <w:pPr>
        <w:pStyle w:val="Compact"/>
        <w:numPr>
          <w:ilvl w:val="0"/>
          <w:numId w:val="1002"/>
        </w:numPr>
      </w:pPr>
      <w:r>
        <w:t xml:space="preserve">Renew registrations.</w:t>
      </w:r>
    </w:p>
    <w:p>
      <w:pPr>
        <w:pStyle w:val="Compact"/>
        <w:numPr>
          <w:ilvl w:val="0"/>
          <w:numId w:val="1002"/>
        </w:numPr>
      </w:pPr>
      <w:r>
        <w:t xml:space="preserve">View payment history.</w:t>
      </w:r>
    </w:p>
    <w:p>
      <w:pPr>
        <w:pStyle w:val="Compact"/>
        <w:numPr>
          <w:ilvl w:val="0"/>
          <w:numId w:val="1002"/>
        </w:numPr>
      </w:pPr>
      <w:r>
        <w:t xml:space="preserve">Download receipts and certificates.</w:t>
      </w:r>
    </w:p>
    <w:p>
      <w:r>
        <w:pict>
          <v:rect style="width:0;height:1.5pt" o:hralign="center" o:hrstd="t" o:hr="t"/>
        </w:pict>
      </w:r>
    </w:p>
    <w:bookmarkEnd w:id="26"/>
    <w:bookmarkStart w:id="30" w:name="pet-registration-module"/>
    <w:p>
      <w:pPr>
        <w:pStyle w:val="Heading2"/>
      </w:pPr>
      <w:r>
        <w:t xml:space="preserve">3.2 Pet Registration Module</w:t>
      </w:r>
    </w:p>
    <w:p>
      <w:pPr>
        <w:pStyle w:val="FirstParagraph"/>
      </w:pPr>
      <w:r>
        <w:t xml:space="preserve">The system shall maintain:</w:t>
      </w:r>
    </w:p>
    <w:bookmarkStart w:id="27" w:name="owner-information"/>
    <w:p>
      <w:pPr>
        <w:pStyle w:val="Heading3"/>
      </w:pPr>
      <w:r>
        <w:t xml:space="preserve">Owner Information</w:t>
      </w:r>
    </w:p>
    <w:p>
      <w:pPr>
        <w:pStyle w:val="Compact"/>
        <w:numPr>
          <w:ilvl w:val="0"/>
          <w:numId w:val="1003"/>
        </w:numPr>
      </w:pPr>
      <w:r>
        <w:t xml:space="preserve">Owner Name</w:t>
      </w:r>
    </w:p>
    <w:p>
      <w:pPr>
        <w:pStyle w:val="Compact"/>
        <w:numPr>
          <w:ilvl w:val="0"/>
          <w:numId w:val="1003"/>
        </w:numPr>
      </w:pPr>
      <w:r>
        <w:t xml:space="preserve">Mobile Number</w:t>
      </w:r>
    </w:p>
    <w:p>
      <w:pPr>
        <w:pStyle w:val="Compact"/>
        <w:numPr>
          <w:ilvl w:val="0"/>
          <w:numId w:val="1003"/>
        </w:numPr>
      </w:pPr>
      <w:r>
        <w:t xml:space="preserve">Address</w:t>
      </w:r>
    </w:p>
    <w:p>
      <w:pPr>
        <w:pStyle w:val="Compact"/>
        <w:numPr>
          <w:ilvl w:val="0"/>
          <w:numId w:val="1003"/>
        </w:numPr>
      </w:pPr>
      <w:r>
        <w:t xml:space="preserve">Area/Ward Information</w:t>
      </w:r>
    </w:p>
    <w:bookmarkEnd w:id="27"/>
    <w:bookmarkStart w:id="28" w:name="pet-information"/>
    <w:p>
      <w:pPr>
        <w:pStyle w:val="Heading3"/>
      </w:pPr>
      <w:r>
        <w:t xml:space="preserve">Pet Information</w:t>
      </w:r>
    </w:p>
    <w:p>
      <w:pPr>
        <w:pStyle w:val="Compact"/>
        <w:numPr>
          <w:ilvl w:val="0"/>
          <w:numId w:val="1004"/>
        </w:numPr>
      </w:pPr>
      <w:r>
        <w:t xml:space="preserve">Dog Name</w:t>
      </w:r>
    </w:p>
    <w:p>
      <w:pPr>
        <w:pStyle w:val="Compact"/>
        <w:numPr>
          <w:ilvl w:val="0"/>
          <w:numId w:val="1004"/>
        </w:numPr>
      </w:pPr>
      <w:r>
        <w:t xml:space="preserve">Breed</w:t>
      </w:r>
    </w:p>
    <w:p>
      <w:pPr>
        <w:pStyle w:val="Compact"/>
        <w:numPr>
          <w:ilvl w:val="0"/>
          <w:numId w:val="1004"/>
        </w:numPr>
      </w:pPr>
      <w:r>
        <w:t xml:space="preserve">Gender</w:t>
      </w:r>
    </w:p>
    <w:p>
      <w:pPr>
        <w:pStyle w:val="Compact"/>
        <w:numPr>
          <w:ilvl w:val="0"/>
          <w:numId w:val="1004"/>
        </w:numPr>
      </w:pPr>
      <w:r>
        <w:t xml:space="preserve">Age</w:t>
      </w:r>
    </w:p>
    <w:p>
      <w:pPr>
        <w:pStyle w:val="Compact"/>
        <w:numPr>
          <w:ilvl w:val="0"/>
          <w:numId w:val="1004"/>
        </w:numPr>
      </w:pPr>
      <w:r>
        <w:t xml:space="preserve">Color</w:t>
      </w:r>
    </w:p>
    <w:p>
      <w:pPr>
        <w:pStyle w:val="Compact"/>
        <w:numPr>
          <w:ilvl w:val="0"/>
          <w:numId w:val="1004"/>
        </w:numPr>
      </w:pPr>
      <w:r>
        <w:t xml:space="preserve">Identification Mark</w:t>
      </w:r>
    </w:p>
    <w:p>
      <w:pPr>
        <w:pStyle w:val="Compact"/>
        <w:numPr>
          <w:ilvl w:val="0"/>
          <w:numId w:val="1004"/>
        </w:numPr>
      </w:pPr>
      <w:r>
        <w:t xml:space="preserve">Photograph</w:t>
      </w:r>
    </w:p>
    <w:bookmarkEnd w:id="28"/>
    <w:bookmarkStart w:id="29" w:name="registration-information"/>
    <w:p>
      <w:pPr>
        <w:pStyle w:val="Heading3"/>
      </w:pPr>
      <w:r>
        <w:t xml:space="preserve">Registration Information</w:t>
      </w:r>
    </w:p>
    <w:p>
      <w:pPr>
        <w:pStyle w:val="Compact"/>
        <w:numPr>
          <w:ilvl w:val="0"/>
          <w:numId w:val="1005"/>
        </w:numPr>
      </w:pPr>
      <w:r>
        <w:t xml:space="preserve">Registration Number</w:t>
      </w:r>
    </w:p>
    <w:p>
      <w:pPr>
        <w:pStyle w:val="Compact"/>
        <w:numPr>
          <w:ilvl w:val="0"/>
          <w:numId w:val="1005"/>
        </w:numPr>
      </w:pPr>
      <w:r>
        <w:t xml:space="preserve">Registration Date</w:t>
      </w:r>
    </w:p>
    <w:p>
      <w:pPr>
        <w:pStyle w:val="Compact"/>
        <w:numPr>
          <w:ilvl w:val="0"/>
          <w:numId w:val="1005"/>
        </w:numPr>
      </w:pPr>
      <w:r>
        <w:t xml:space="preserve">Expiry Date</w:t>
      </w:r>
    </w:p>
    <w:p>
      <w:pPr>
        <w:pStyle w:val="Compact"/>
        <w:numPr>
          <w:ilvl w:val="0"/>
          <w:numId w:val="1005"/>
        </w:numPr>
      </w:pPr>
      <w:r>
        <w:t xml:space="preserve">Status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registration-management"/>
    <w:p>
      <w:pPr>
        <w:pStyle w:val="Heading2"/>
      </w:pPr>
      <w:r>
        <w:t xml:space="preserve">3.3 Registration Management</w:t>
      </w:r>
    </w:p>
    <w:p>
      <w:pPr>
        <w:pStyle w:val="FirstParagraph"/>
      </w:pPr>
      <w:r>
        <w:t xml:space="preserve">Municipal users shall be able to:</w:t>
      </w:r>
    </w:p>
    <w:p>
      <w:pPr>
        <w:pStyle w:val="Compact"/>
        <w:numPr>
          <w:ilvl w:val="0"/>
          <w:numId w:val="1006"/>
        </w:numPr>
      </w:pPr>
      <w:r>
        <w:t xml:space="preserve">View all registrations.</w:t>
      </w:r>
    </w:p>
    <w:p>
      <w:pPr>
        <w:pStyle w:val="Compact"/>
        <w:numPr>
          <w:ilvl w:val="0"/>
          <w:numId w:val="1006"/>
        </w:numPr>
      </w:pPr>
      <w:r>
        <w:t xml:space="preserve">Search registrations.</w:t>
      </w:r>
    </w:p>
    <w:p>
      <w:pPr>
        <w:pStyle w:val="Compact"/>
        <w:numPr>
          <w:ilvl w:val="0"/>
          <w:numId w:val="1006"/>
        </w:numPr>
      </w:pPr>
      <w:r>
        <w:t xml:space="preserve">Filter registrations.</w:t>
      </w:r>
    </w:p>
    <w:p>
      <w:pPr>
        <w:pStyle w:val="Compact"/>
        <w:numPr>
          <w:ilvl w:val="0"/>
          <w:numId w:val="1006"/>
        </w:numPr>
      </w:pPr>
      <w:r>
        <w:t xml:space="preserve">Modify registration information.</w:t>
      </w:r>
    </w:p>
    <w:p>
      <w:pPr>
        <w:pStyle w:val="Compact"/>
        <w:numPr>
          <w:ilvl w:val="0"/>
          <w:numId w:val="1006"/>
        </w:numPr>
      </w:pPr>
      <w:r>
        <w:t xml:space="preserve">View complete registration history.</w:t>
      </w:r>
    </w:p>
    <w:p>
      <w:r>
        <w:pict>
          <v:rect style="width:0;height:1.5pt" o:hralign="center" o:hrstd="t" o:hr="t"/>
        </w:pict>
      </w:r>
    </w:p>
    <w:bookmarkEnd w:id="31"/>
    <w:bookmarkStart w:id="32" w:name="renewal-management"/>
    <w:p>
      <w:pPr>
        <w:pStyle w:val="Heading2"/>
      </w:pPr>
      <w:r>
        <w:t xml:space="preserve">3.4 Renewal Management</w:t>
      </w:r>
    </w:p>
    <w:p>
      <w:pPr>
        <w:pStyle w:val="FirstParagraph"/>
      </w:pPr>
      <w:r>
        <w:t xml:space="preserve">The system shall provide:</w:t>
      </w:r>
    </w:p>
    <w:p>
      <w:pPr>
        <w:pStyle w:val="Compact"/>
        <w:numPr>
          <w:ilvl w:val="0"/>
          <w:numId w:val="1007"/>
        </w:numPr>
      </w:pPr>
      <w:r>
        <w:t xml:space="preserve">Annual renewal facility.</w:t>
      </w:r>
    </w:p>
    <w:p>
      <w:pPr>
        <w:pStyle w:val="Compact"/>
        <w:numPr>
          <w:ilvl w:val="0"/>
          <w:numId w:val="1007"/>
        </w:numPr>
      </w:pPr>
      <w:r>
        <w:t xml:space="preserve">Renewal history maintenance.</w:t>
      </w:r>
    </w:p>
    <w:p>
      <w:pPr>
        <w:pStyle w:val="Compact"/>
        <w:numPr>
          <w:ilvl w:val="0"/>
          <w:numId w:val="1007"/>
        </w:numPr>
      </w:pPr>
      <w:r>
        <w:t xml:space="preserve">Renewal tracking.</w:t>
      </w:r>
    </w:p>
    <w:p>
      <w:pPr>
        <w:pStyle w:val="Compact"/>
        <w:numPr>
          <w:ilvl w:val="0"/>
          <w:numId w:val="1007"/>
        </w:numPr>
      </w:pPr>
      <w:r>
        <w:t xml:space="preserve">Renewal certificate generation.</w:t>
      </w:r>
    </w:p>
    <w:p>
      <w:pPr>
        <w:pStyle w:val="Compact"/>
        <w:numPr>
          <w:ilvl w:val="0"/>
          <w:numId w:val="1007"/>
        </w:numPr>
      </w:pPr>
      <w:r>
        <w:t xml:space="preserve">Expiry monitoring.</w:t>
      </w:r>
    </w:p>
    <w:p>
      <w:r>
        <w:pict>
          <v:rect style="width:0;height:1.5pt" o:hralign="center" o:hrstd="t" o:hr="t"/>
        </w:pict>
      </w:r>
    </w:p>
    <w:bookmarkEnd w:id="32"/>
    <w:bookmarkStart w:id="35" w:name="payment-management"/>
    <w:p>
      <w:pPr>
        <w:pStyle w:val="Heading2"/>
      </w:pPr>
      <w:r>
        <w:t xml:space="preserve">3.5 Payment Management</w:t>
      </w:r>
    </w:p>
    <w:bookmarkStart w:id="33" w:name="online-payments"/>
    <w:p>
      <w:pPr>
        <w:pStyle w:val="Heading3"/>
      </w:pPr>
      <w:r>
        <w:t xml:space="preserve">Online Payments</w:t>
      </w:r>
    </w:p>
    <w:p>
      <w:pPr>
        <w:pStyle w:val="Compact"/>
        <w:numPr>
          <w:ilvl w:val="0"/>
          <w:numId w:val="1008"/>
        </w:numPr>
      </w:pPr>
      <w:r>
        <w:t xml:space="preserve">UPI</w:t>
      </w:r>
    </w:p>
    <w:p>
      <w:pPr>
        <w:pStyle w:val="Compact"/>
        <w:numPr>
          <w:ilvl w:val="0"/>
          <w:numId w:val="1008"/>
        </w:numPr>
      </w:pPr>
      <w:r>
        <w:t xml:space="preserve">Credit Card</w:t>
      </w:r>
    </w:p>
    <w:p>
      <w:pPr>
        <w:pStyle w:val="Compact"/>
        <w:numPr>
          <w:ilvl w:val="0"/>
          <w:numId w:val="1008"/>
        </w:numPr>
      </w:pPr>
      <w:r>
        <w:t xml:space="preserve">Debit Card</w:t>
      </w:r>
    </w:p>
    <w:p>
      <w:pPr>
        <w:pStyle w:val="Compact"/>
        <w:numPr>
          <w:ilvl w:val="0"/>
          <w:numId w:val="1008"/>
        </w:numPr>
      </w:pPr>
      <w:r>
        <w:t xml:space="preserve">Net Banking</w:t>
      </w:r>
    </w:p>
    <w:bookmarkEnd w:id="33"/>
    <w:bookmarkStart w:id="34" w:name="offline-payments"/>
    <w:p>
      <w:pPr>
        <w:pStyle w:val="Heading3"/>
      </w:pPr>
      <w:r>
        <w:t xml:space="preserve">Offline Payments</w:t>
      </w:r>
    </w:p>
    <w:p>
      <w:pPr>
        <w:pStyle w:val="Compact"/>
        <w:numPr>
          <w:ilvl w:val="0"/>
          <w:numId w:val="1009"/>
        </w:numPr>
      </w:pPr>
      <w:r>
        <w:t xml:space="preserve">Cash Collection</w:t>
      </w:r>
    </w:p>
    <w:p>
      <w:pPr>
        <w:pStyle w:val="Compact"/>
        <w:numPr>
          <w:ilvl w:val="0"/>
          <w:numId w:val="1009"/>
        </w:numPr>
      </w:pPr>
      <w:r>
        <w:t xml:space="preserve">Manual Receipt Entry</w:t>
      </w:r>
    </w:p>
    <w:p>
      <w:pPr>
        <w:pStyle w:val="Compact"/>
        <w:numPr>
          <w:ilvl w:val="0"/>
          <w:numId w:val="1009"/>
        </w:numPr>
      </w:pPr>
      <w:r>
        <w:t xml:space="preserve">Approval Workflow</w:t>
      </w:r>
    </w:p>
    <w:p>
      <w:pPr>
        <w:pStyle w:val="FirstParagraph"/>
      </w:pPr>
      <w:r>
        <w:t xml:space="preserve">The system shall maintain complete transaction records and payment history.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sms-notification-module"/>
    <w:p>
      <w:pPr>
        <w:pStyle w:val="Heading2"/>
      </w:pPr>
      <w:r>
        <w:t xml:space="preserve">3.6 SMS Notification Module</w:t>
      </w:r>
    </w:p>
    <w:p>
      <w:pPr>
        <w:pStyle w:val="FirstParagraph"/>
      </w:pPr>
      <w:r>
        <w:t xml:space="preserve">Automated notifications shall be sent for:</w:t>
      </w:r>
    </w:p>
    <w:p>
      <w:pPr>
        <w:pStyle w:val="Compact"/>
        <w:numPr>
          <w:ilvl w:val="0"/>
          <w:numId w:val="1010"/>
        </w:numPr>
      </w:pPr>
      <w:r>
        <w:t xml:space="preserve">Successful Registration</w:t>
      </w:r>
    </w:p>
    <w:p>
      <w:pPr>
        <w:pStyle w:val="Compact"/>
        <w:numPr>
          <w:ilvl w:val="0"/>
          <w:numId w:val="1010"/>
        </w:numPr>
      </w:pPr>
      <w:r>
        <w:t xml:space="preserve">Renewal Due Reminder</w:t>
      </w:r>
    </w:p>
    <w:p>
      <w:pPr>
        <w:pStyle w:val="Compact"/>
        <w:numPr>
          <w:ilvl w:val="0"/>
          <w:numId w:val="1010"/>
        </w:numPr>
      </w:pPr>
      <w:r>
        <w:t xml:space="preserve">Registration Expiry Alert</w:t>
      </w:r>
    </w:p>
    <w:p>
      <w:pPr>
        <w:pStyle w:val="Compact"/>
        <w:numPr>
          <w:ilvl w:val="0"/>
          <w:numId w:val="1010"/>
        </w:numPr>
      </w:pPr>
      <w:r>
        <w:t xml:space="preserve">Successful Payment</w:t>
      </w:r>
    </w:p>
    <w:p>
      <w:pPr>
        <w:pStyle w:val="Compact"/>
        <w:numPr>
          <w:ilvl w:val="0"/>
          <w:numId w:val="1010"/>
        </w:numPr>
      </w:pPr>
      <w:r>
        <w:t xml:space="preserve">Failed Payment</w:t>
      </w:r>
    </w:p>
    <w:p>
      <w:r>
        <w:pict>
          <v:rect style="width:0;height:1.5pt" o:hralign="center" o:hrstd="t" o:hr="t"/>
        </w:pict>
      </w:r>
    </w:p>
    <w:bookmarkEnd w:id="36"/>
    <w:bookmarkStart w:id="37" w:name="dashboard"/>
    <w:p>
      <w:pPr>
        <w:pStyle w:val="Heading2"/>
      </w:pPr>
      <w:r>
        <w:t xml:space="preserve">3.7 Dashboard</w:t>
      </w:r>
    </w:p>
    <w:p>
      <w:pPr>
        <w:pStyle w:val="FirstParagraph"/>
      </w:pPr>
      <w:r>
        <w:t xml:space="preserve">The dashboard shall provide:</w:t>
      </w:r>
    </w:p>
    <w:p>
      <w:pPr>
        <w:pStyle w:val="Compact"/>
        <w:numPr>
          <w:ilvl w:val="0"/>
          <w:numId w:val="1011"/>
        </w:numPr>
      </w:pPr>
      <w:r>
        <w:t xml:space="preserve">Total Registered Dogs</w:t>
      </w:r>
    </w:p>
    <w:p>
      <w:pPr>
        <w:pStyle w:val="Compact"/>
        <w:numPr>
          <w:ilvl w:val="0"/>
          <w:numId w:val="1011"/>
        </w:numPr>
      </w:pPr>
      <w:r>
        <w:t xml:space="preserve">Active Registrations</w:t>
      </w:r>
    </w:p>
    <w:p>
      <w:pPr>
        <w:pStyle w:val="Compact"/>
        <w:numPr>
          <w:ilvl w:val="0"/>
          <w:numId w:val="1011"/>
        </w:numPr>
      </w:pPr>
      <w:r>
        <w:t xml:space="preserve">Expired Registrations</w:t>
      </w:r>
    </w:p>
    <w:p>
      <w:pPr>
        <w:pStyle w:val="Compact"/>
        <w:numPr>
          <w:ilvl w:val="0"/>
          <w:numId w:val="1011"/>
        </w:numPr>
      </w:pPr>
      <w:r>
        <w:t xml:space="preserve">Renewals Due</w:t>
      </w:r>
    </w:p>
    <w:p>
      <w:pPr>
        <w:pStyle w:val="Compact"/>
        <w:numPr>
          <w:ilvl w:val="0"/>
          <w:numId w:val="1011"/>
        </w:numPr>
      </w:pPr>
      <w:r>
        <w:t xml:space="preserve">Revenue Collection</w:t>
      </w:r>
    </w:p>
    <w:p>
      <w:pPr>
        <w:pStyle w:val="Compact"/>
        <w:numPr>
          <w:ilvl w:val="0"/>
          <w:numId w:val="1011"/>
        </w:numPr>
      </w:pPr>
      <w:r>
        <w:t xml:space="preserve">Area-wise Statistics</w:t>
      </w:r>
    </w:p>
    <w:p>
      <w:pPr>
        <w:pStyle w:val="Compact"/>
        <w:numPr>
          <w:ilvl w:val="0"/>
          <w:numId w:val="1011"/>
        </w:numPr>
      </w:pPr>
      <w:r>
        <w:t xml:space="preserve">Monthly Trends</w:t>
      </w:r>
    </w:p>
    <w:p>
      <w:pPr>
        <w:pStyle w:val="Compact"/>
        <w:numPr>
          <w:ilvl w:val="0"/>
          <w:numId w:val="1011"/>
        </w:numPr>
      </w:pPr>
      <w:r>
        <w:t xml:space="preserve">Payment Summary</w:t>
      </w:r>
    </w:p>
    <w:p>
      <w:r>
        <w:pict>
          <v:rect style="width:0;height:1.5pt" o:hralign="center" o:hrstd="t" o:hr="t"/>
        </w:pict>
      </w:r>
    </w:p>
    <w:bookmarkEnd w:id="37"/>
    <w:bookmarkStart w:id="38" w:name="user-management"/>
    <w:p>
      <w:pPr>
        <w:pStyle w:val="Heading2"/>
      </w:pPr>
      <w:r>
        <w:t xml:space="preserve">3.8 User Management</w:t>
      </w:r>
    </w:p>
    <w:p>
      <w:pPr>
        <w:pStyle w:val="FirstParagraph"/>
      </w:pPr>
      <w:r>
        <w:t xml:space="preserve">Administrative users shall be able to:</w:t>
      </w:r>
    </w:p>
    <w:p>
      <w:pPr>
        <w:pStyle w:val="Compact"/>
        <w:numPr>
          <w:ilvl w:val="0"/>
          <w:numId w:val="1012"/>
        </w:numPr>
      </w:pPr>
      <w:r>
        <w:t xml:space="preserve">Create Users</w:t>
      </w:r>
    </w:p>
    <w:p>
      <w:pPr>
        <w:pStyle w:val="Compact"/>
        <w:numPr>
          <w:ilvl w:val="0"/>
          <w:numId w:val="1012"/>
        </w:numPr>
      </w:pPr>
      <w:r>
        <w:t xml:space="preserve">Modify Users</w:t>
      </w:r>
    </w:p>
    <w:p>
      <w:pPr>
        <w:pStyle w:val="Compact"/>
        <w:numPr>
          <w:ilvl w:val="0"/>
          <w:numId w:val="1012"/>
        </w:numPr>
      </w:pPr>
      <w:r>
        <w:t xml:space="preserve">Assign Roles</w:t>
      </w:r>
    </w:p>
    <w:p>
      <w:pPr>
        <w:pStyle w:val="Compact"/>
        <w:numPr>
          <w:ilvl w:val="0"/>
          <w:numId w:val="1012"/>
        </w:numPr>
      </w:pPr>
      <w:r>
        <w:t xml:space="preserve">Manage Permissions</w:t>
      </w:r>
    </w:p>
    <w:p>
      <w:r>
        <w:pict>
          <v:rect style="width:0;height:1.5pt" o:hralign="center" o:hrstd="t" o:hr="t"/>
        </w:pict>
      </w:r>
    </w:p>
    <w:bookmarkEnd w:id="38"/>
    <w:bookmarkStart w:id="43" w:name="reports"/>
    <w:p>
      <w:pPr>
        <w:pStyle w:val="Heading2"/>
      </w:pPr>
      <w:r>
        <w:t xml:space="preserve">3.9 Reports</w:t>
      </w:r>
    </w:p>
    <w:p>
      <w:pPr>
        <w:pStyle w:val="FirstParagraph"/>
      </w:pPr>
      <w:r>
        <w:t xml:space="preserve">The system shall provide downloadable reports including:</w:t>
      </w:r>
    </w:p>
    <w:bookmarkStart w:id="39" w:name="registration-reports"/>
    <w:p>
      <w:pPr>
        <w:pStyle w:val="Heading3"/>
      </w:pPr>
      <w:r>
        <w:t xml:space="preserve">Registration Reports</w:t>
      </w:r>
    </w:p>
    <w:p>
      <w:pPr>
        <w:pStyle w:val="Compact"/>
        <w:numPr>
          <w:ilvl w:val="0"/>
          <w:numId w:val="1013"/>
        </w:numPr>
      </w:pPr>
      <w:r>
        <w:t xml:space="preserve">Daily Registration Report</w:t>
      </w:r>
    </w:p>
    <w:p>
      <w:pPr>
        <w:pStyle w:val="Compact"/>
        <w:numPr>
          <w:ilvl w:val="0"/>
          <w:numId w:val="1013"/>
        </w:numPr>
      </w:pPr>
      <w:r>
        <w:t xml:space="preserve">Monthly Registration Report</w:t>
      </w:r>
    </w:p>
    <w:p>
      <w:pPr>
        <w:pStyle w:val="Compact"/>
        <w:numPr>
          <w:ilvl w:val="0"/>
          <w:numId w:val="1013"/>
        </w:numPr>
      </w:pPr>
      <w:r>
        <w:t xml:space="preserve">Area-wise Registration Report</w:t>
      </w:r>
    </w:p>
    <w:p>
      <w:pPr>
        <w:pStyle w:val="Compact"/>
        <w:numPr>
          <w:ilvl w:val="0"/>
          <w:numId w:val="1013"/>
        </w:numPr>
      </w:pPr>
      <w:r>
        <w:t xml:space="preserve">Breed-wise Registration Report</w:t>
      </w:r>
    </w:p>
    <w:bookmarkEnd w:id="39"/>
    <w:bookmarkStart w:id="40" w:name="renewal-reports"/>
    <w:p>
      <w:pPr>
        <w:pStyle w:val="Heading3"/>
      </w:pPr>
      <w:r>
        <w:t xml:space="preserve">Renewal Reports</w:t>
      </w:r>
    </w:p>
    <w:p>
      <w:pPr>
        <w:pStyle w:val="Compact"/>
        <w:numPr>
          <w:ilvl w:val="0"/>
          <w:numId w:val="1014"/>
        </w:numPr>
      </w:pPr>
      <w:r>
        <w:t xml:space="preserve">Renewal Due Report</w:t>
      </w:r>
    </w:p>
    <w:p>
      <w:pPr>
        <w:pStyle w:val="Compact"/>
        <w:numPr>
          <w:ilvl w:val="0"/>
          <w:numId w:val="1014"/>
        </w:numPr>
      </w:pPr>
      <w:r>
        <w:t xml:space="preserve">Expired Registration Report</w:t>
      </w:r>
    </w:p>
    <w:p>
      <w:pPr>
        <w:pStyle w:val="Compact"/>
        <w:numPr>
          <w:ilvl w:val="0"/>
          <w:numId w:val="1014"/>
        </w:numPr>
      </w:pPr>
      <w:r>
        <w:t xml:space="preserve">Renewal History Report</w:t>
      </w:r>
    </w:p>
    <w:bookmarkEnd w:id="40"/>
    <w:bookmarkStart w:id="41" w:name="revenue-reports"/>
    <w:p>
      <w:pPr>
        <w:pStyle w:val="Heading3"/>
      </w:pPr>
      <w:r>
        <w:t xml:space="preserve">Revenue Reports</w:t>
      </w:r>
    </w:p>
    <w:p>
      <w:pPr>
        <w:pStyle w:val="Compact"/>
        <w:numPr>
          <w:ilvl w:val="0"/>
          <w:numId w:val="1015"/>
        </w:numPr>
      </w:pPr>
      <w:r>
        <w:t xml:space="preserve">Daily Collection Report</w:t>
      </w:r>
    </w:p>
    <w:p>
      <w:pPr>
        <w:pStyle w:val="Compact"/>
        <w:numPr>
          <w:ilvl w:val="0"/>
          <w:numId w:val="1015"/>
        </w:numPr>
      </w:pPr>
      <w:r>
        <w:t xml:space="preserve">Monthly Collection Report</w:t>
      </w:r>
    </w:p>
    <w:p>
      <w:pPr>
        <w:pStyle w:val="Compact"/>
        <w:numPr>
          <w:ilvl w:val="0"/>
          <w:numId w:val="1015"/>
        </w:numPr>
      </w:pPr>
      <w:r>
        <w:t xml:space="preserve">Online Payment Report</w:t>
      </w:r>
    </w:p>
    <w:p>
      <w:pPr>
        <w:pStyle w:val="Compact"/>
        <w:numPr>
          <w:ilvl w:val="0"/>
          <w:numId w:val="1015"/>
        </w:numPr>
      </w:pPr>
      <w:r>
        <w:t xml:space="preserve">Offline Payment Report</w:t>
      </w:r>
    </w:p>
    <w:bookmarkEnd w:id="41"/>
    <w:bookmarkStart w:id="42" w:name="management-reports"/>
    <w:p>
      <w:pPr>
        <w:pStyle w:val="Heading3"/>
      </w:pPr>
      <w:r>
        <w:t xml:space="preserve">Management Reports</w:t>
      </w:r>
    </w:p>
    <w:p>
      <w:pPr>
        <w:pStyle w:val="Compact"/>
        <w:numPr>
          <w:ilvl w:val="0"/>
          <w:numId w:val="1016"/>
        </w:numPr>
      </w:pPr>
      <w:r>
        <w:t xml:space="preserve">Executive Summary Report</w:t>
      </w:r>
    </w:p>
    <w:p>
      <w:pPr>
        <w:pStyle w:val="Compact"/>
        <w:numPr>
          <w:ilvl w:val="0"/>
          <w:numId w:val="1016"/>
        </w:numPr>
      </w:pPr>
      <w:r>
        <w:t xml:space="preserve">Dashboard Summary Report</w:t>
      </w:r>
    </w:p>
    <w:p>
      <w:r>
        <w:pict>
          <v:rect style="width:0;height:1.5pt" o:hralign="center" o:hrstd="t" o:hr="t"/>
        </w:pict>
      </w:r>
    </w:p>
    <w:bookmarkEnd w:id="42"/>
    <w:bookmarkEnd w:id="43"/>
    <w:bookmarkEnd w:id="44"/>
    <w:bookmarkStart w:id="45" w:name="proposed-solution-architecture"/>
    <w:p>
      <w:pPr>
        <w:pStyle w:val="Heading1"/>
      </w:pPr>
      <w:r>
        <w:t xml:space="preserve">4. Proposed Solution Architecture</w:t>
      </w:r>
    </w:p>
    <w:p>
      <w:pPr>
        <w:pStyle w:val="SourceCode"/>
      </w:pPr>
      <w:r>
        <w:rPr>
          <w:rStyle w:val="VerbatimChar"/>
        </w:rPr>
        <w:t xml:space="preserve">            Citizens</w:t>
      </w:r>
      <w:r>
        <w:br/>
      </w:r>
      <w:r>
        <w:rPr>
          <w:rStyle w:val="VerbatimChar"/>
        </w:rPr>
        <w:t xml:space="preserve">                │</w:t>
      </w:r>
      <w:r>
        <w:br/>
      </w:r>
      <w:r>
        <w:rPr>
          <w:rStyle w:val="VerbatimChar"/>
        </w:rPr>
        <w:t xml:space="preserve">                ▼</w:t>
      </w:r>
      <w:r>
        <w:br/>
      </w:r>
      <w:r>
        <w:rPr>
          <w:rStyle w:val="VerbatimChar"/>
        </w:rPr>
        <w:t xml:space="preserve">      Web Portal (ASP.NET MVC)</w:t>
      </w:r>
      <w:r>
        <w:br/>
      </w:r>
      <w:r>
        <w:rPr>
          <w:rStyle w:val="VerbatimChar"/>
        </w:rPr>
        <w:t xml:space="preserve">                │</w:t>
      </w:r>
      <w:r>
        <w:br/>
      </w:r>
      <w:r>
        <w:rPr>
          <w:rStyle w:val="VerbatimChar"/>
        </w:rPr>
        <w:t xml:space="preserve"> ┌──────────────┼──────────────┐</w:t>
      </w:r>
      <w:r>
        <w:br/>
      </w:r>
      <w:r>
        <w:rPr>
          <w:rStyle w:val="VerbatimChar"/>
        </w:rPr>
        <w:t xml:space="preserve"> ▼              ▼              ▼</w:t>
      </w:r>
    </w:p>
    <w:p>
      <w:pPr>
        <w:pStyle w:val="FirstParagraph"/>
      </w:pPr>
      <w:r>
        <w:t xml:space="preserve">Payment Gateway SMS Gateway Admin Portal</w:t>
      </w:r>
    </w:p>
    <w:p>
      <w:pPr>
        <w:pStyle w:val="SourceCode"/>
      </w:pPr>
      <w:r>
        <w:rPr>
          <w:rStyle w:val="VerbatimChar"/>
        </w:rPr>
        <w:t xml:space="preserve"> ▼              ▼              ▼</w:t>
      </w:r>
      <w:r>
        <w:br/>
      </w:r>
      <w:r>
        <w:rPr>
          <w:rStyle w:val="VerbatimChar"/>
        </w:rPr>
        <w:t xml:space="preserve">      Application Layer</w:t>
      </w:r>
      <w:r>
        <w:br/>
      </w:r>
      <w:r>
        <w:rPr>
          <w:rStyle w:val="VerbatimChar"/>
        </w:rPr>
        <w:t xml:space="preserve">                │</w:t>
      </w:r>
      <w:r>
        <w:br/>
      </w:r>
      <w:r>
        <w:rPr>
          <w:rStyle w:val="VerbatimChar"/>
        </w:rPr>
        <w:t xml:space="preserve">                ▼</w:t>
      </w:r>
      <w:r>
        <w:br/>
      </w:r>
      <w:r>
        <w:rPr>
          <w:rStyle w:val="VerbatimChar"/>
        </w:rPr>
        <w:t xml:space="preserve">         SQL Database</w:t>
      </w:r>
      <w:r>
        <w:br/>
      </w:r>
      <w:r>
        <w:rPr>
          <w:rStyle w:val="VerbatimChar"/>
        </w:rPr>
        <w:t xml:space="preserve">                │</w:t>
      </w:r>
      <w:r>
        <w:br/>
      </w:r>
      <w:r>
        <w:rPr>
          <w:rStyle w:val="VerbatimChar"/>
        </w:rPr>
        <w:t xml:space="preserve">                ▼</w:t>
      </w:r>
      <w:r>
        <w:br/>
      </w:r>
      <w:r>
        <w:rPr>
          <w:rStyle w:val="VerbatimChar"/>
        </w:rPr>
        <w:t xml:space="preserve">      Reports &amp; Dashboard</w:t>
      </w:r>
    </w:p>
    <w:p>
      <w:pPr>
        <w:pStyle w:val="FirstParagraph"/>
      </w:pPr>
      <w:r>
        <w:t xml:space="preserve">Architecture Components:</w:t>
      </w:r>
    </w:p>
    <w:p>
      <w:pPr>
        <w:numPr>
          <w:ilvl w:val="0"/>
          <w:numId w:val="1017"/>
        </w:numPr>
      </w:pPr>
      <w:r>
        <w:t xml:space="preserve">Presentation Layer</w:t>
      </w:r>
    </w:p>
    <w:p>
      <w:pPr>
        <w:pStyle w:val="Compact"/>
        <w:numPr>
          <w:ilvl w:val="1"/>
          <w:numId w:val="1018"/>
        </w:numPr>
      </w:pPr>
      <w:r>
        <w:t xml:space="preserve">ASP.NET MVC</w:t>
      </w:r>
    </w:p>
    <w:p>
      <w:pPr>
        <w:pStyle w:val="Compact"/>
        <w:numPr>
          <w:ilvl w:val="1"/>
          <w:numId w:val="1018"/>
        </w:numPr>
      </w:pPr>
      <w:r>
        <w:t xml:space="preserve">Bootstrap</w:t>
      </w:r>
    </w:p>
    <w:p>
      <w:pPr>
        <w:pStyle w:val="Compact"/>
        <w:numPr>
          <w:ilvl w:val="1"/>
          <w:numId w:val="1018"/>
        </w:numPr>
      </w:pPr>
      <w:r>
        <w:t xml:space="preserve">JavaScript</w:t>
      </w:r>
    </w:p>
    <w:p>
      <w:pPr>
        <w:pStyle w:val="Compact"/>
        <w:numPr>
          <w:ilvl w:val="1"/>
          <w:numId w:val="1018"/>
        </w:numPr>
      </w:pPr>
      <w:r>
        <w:t xml:space="preserve">jQuery</w:t>
      </w:r>
    </w:p>
    <w:p>
      <w:pPr>
        <w:numPr>
          <w:ilvl w:val="0"/>
          <w:numId w:val="1017"/>
        </w:numPr>
      </w:pPr>
      <w:r>
        <w:t xml:space="preserve">Business Layer</w:t>
      </w:r>
    </w:p>
    <w:p>
      <w:pPr>
        <w:pStyle w:val="Compact"/>
        <w:numPr>
          <w:ilvl w:val="1"/>
          <w:numId w:val="1019"/>
        </w:numPr>
      </w:pPr>
      <w:r>
        <w:t xml:space="preserve">Business Logic</w:t>
      </w:r>
    </w:p>
    <w:p>
      <w:pPr>
        <w:pStyle w:val="Compact"/>
        <w:numPr>
          <w:ilvl w:val="1"/>
          <w:numId w:val="1019"/>
        </w:numPr>
      </w:pPr>
      <w:r>
        <w:t xml:space="preserve">Validation</w:t>
      </w:r>
    </w:p>
    <w:p>
      <w:pPr>
        <w:pStyle w:val="Compact"/>
        <w:numPr>
          <w:ilvl w:val="1"/>
          <w:numId w:val="1019"/>
        </w:numPr>
      </w:pPr>
      <w:r>
        <w:t xml:space="preserve">Payment Processing</w:t>
      </w:r>
    </w:p>
    <w:p>
      <w:pPr>
        <w:pStyle w:val="Compact"/>
        <w:numPr>
          <w:ilvl w:val="1"/>
          <w:numId w:val="1019"/>
        </w:numPr>
      </w:pPr>
      <w:r>
        <w:t xml:space="preserve">Notification Services</w:t>
      </w:r>
    </w:p>
    <w:p>
      <w:pPr>
        <w:numPr>
          <w:ilvl w:val="0"/>
          <w:numId w:val="1017"/>
        </w:numPr>
      </w:pPr>
      <w:r>
        <w:t xml:space="preserve">Data Layer</w:t>
      </w:r>
    </w:p>
    <w:p>
      <w:pPr>
        <w:pStyle w:val="Compact"/>
        <w:numPr>
          <w:ilvl w:val="1"/>
          <w:numId w:val="1020"/>
        </w:numPr>
      </w:pPr>
      <w:r>
        <w:t xml:space="preserve">Microsoft SQL Server</w:t>
      </w:r>
    </w:p>
    <w:p>
      <w:pPr>
        <w:numPr>
          <w:ilvl w:val="0"/>
          <w:numId w:val="1017"/>
        </w:numPr>
      </w:pPr>
      <w:r>
        <w:t xml:space="preserve">Third Party Integrations</w:t>
      </w:r>
    </w:p>
    <w:p>
      <w:pPr>
        <w:pStyle w:val="Compact"/>
        <w:numPr>
          <w:ilvl w:val="1"/>
          <w:numId w:val="1021"/>
        </w:numPr>
      </w:pPr>
      <w:r>
        <w:t xml:space="preserve">SMS Gateway</w:t>
      </w:r>
    </w:p>
    <w:p>
      <w:pPr>
        <w:pStyle w:val="Compact"/>
        <w:numPr>
          <w:ilvl w:val="1"/>
          <w:numId w:val="1021"/>
        </w:numPr>
      </w:pPr>
      <w:r>
        <w:t xml:space="preserve">Payment Gateway</w:t>
      </w:r>
    </w:p>
    <w:p>
      <w:r>
        <w:pict>
          <v:rect style="width:0;height:1.5pt" o:hralign="center" o:hrstd="t" o:hr="t"/>
        </w:pict>
      </w:r>
    </w:p>
    <w:bookmarkEnd w:id="45"/>
    <w:bookmarkStart w:id="46" w:name="technology-stack"/>
    <w:p>
      <w:pPr>
        <w:pStyle w:val="Heading1"/>
      </w:pPr>
      <w:r>
        <w:t xml:space="preserve">5. Technology Stack</w:t>
      </w:r>
    </w:p>
    <w:p>
      <w:pPr>
        <w:pStyle w:val="FirstParagraph"/>
      </w:pPr>
      <w:r>
        <w:t xml:space="preserve">Backend</w:t>
      </w:r>
    </w:p>
    <w:p>
      <w:pPr>
        <w:pStyle w:val="Compact"/>
        <w:numPr>
          <w:ilvl w:val="0"/>
          <w:numId w:val="1022"/>
        </w:numPr>
      </w:pPr>
      <w:r>
        <w:t xml:space="preserve">Microsoft ASP.NET MVC</w:t>
      </w:r>
    </w:p>
    <w:p>
      <w:pPr>
        <w:pStyle w:val="FirstParagraph"/>
      </w:pPr>
      <w:r>
        <w:t xml:space="preserve">Frontend</w:t>
      </w:r>
    </w:p>
    <w:p>
      <w:pPr>
        <w:pStyle w:val="Compact"/>
        <w:numPr>
          <w:ilvl w:val="0"/>
          <w:numId w:val="1023"/>
        </w:numPr>
      </w:pPr>
      <w:r>
        <w:t xml:space="preserve">HTML5</w:t>
      </w:r>
    </w:p>
    <w:p>
      <w:pPr>
        <w:pStyle w:val="Compact"/>
        <w:numPr>
          <w:ilvl w:val="0"/>
          <w:numId w:val="1023"/>
        </w:numPr>
      </w:pPr>
      <w:r>
        <w:t xml:space="preserve">CSS3</w:t>
      </w:r>
    </w:p>
    <w:p>
      <w:pPr>
        <w:pStyle w:val="Compact"/>
        <w:numPr>
          <w:ilvl w:val="0"/>
          <w:numId w:val="1023"/>
        </w:numPr>
      </w:pPr>
      <w:r>
        <w:t xml:space="preserve">Bootstrap</w:t>
      </w:r>
    </w:p>
    <w:p>
      <w:pPr>
        <w:pStyle w:val="Compact"/>
        <w:numPr>
          <w:ilvl w:val="0"/>
          <w:numId w:val="1023"/>
        </w:numPr>
      </w:pPr>
      <w:r>
        <w:t xml:space="preserve">JavaScript</w:t>
      </w:r>
    </w:p>
    <w:p>
      <w:pPr>
        <w:pStyle w:val="Compact"/>
        <w:numPr>
          <w:ilvl w:val="0"/>
          <w:numId w:val="1023"/>
        </w:numPr>
      </w:pPr>
      <w:r>
        <w:t xml:space="preserve">jQuery</w:t>
      </w:r>
    </w:p>
    <w:p>
      <w:pPr>
        <w:pStyle w:val="FirstParagraph"/>
      </w:pPr>
      <w:r>
        <w:t xml:space="preserve">Database</w:t>
      </w:r>
    </w:p>
    <w:p>
      <w:pPr>
        <w:pStyle w:val="Compact"/>
        <w:numPr>
          <w:ilvl w:val="0"/>
          <w:numId w:val="1024"/>
        </w:numPr>
      </w:pPr>
      <w:r>
        <w:t xml:space="preserve">Microsoft SQL Server</w:t>
      </w:r>
    </w:p>
    <w:p>
      <w:pPr>
        <w:pStyle w:val="FirstParagraph"/>
      </w:pPr>
      <w:r>
        <w:t xml:space="preserve">Hosting Environment</w:t>
      </w:r>
    </w:p>
    <w:p>
      <w:pPr>
        <w:pStyle w:val="Compact"/>
        <w:numPr>
          <w:ilvl w:val="0"/>
          <w:numId w:val="1025"/>
        </w:numPr>
      </w:pPr>
      <w:r>
        <w:t xml:space="preserve">Windows Cloud Server</w:t>
      </w:r>
    </w:p>
    <w:p>
      <w:pPr>
        <w:pStyle w:val="FirstParagraph"/>
      </w:pPr>
      <w:r>
        <w:t xml:space="preserve">Security</w:t>
      </w:r>
    </w:p>
    <w:p>
      <w:pPr>
        <w:pStyle w:val="Compact"/>
        <w:numPr>
          <w:ilvl w:val="0"/>
          <w:numId w:val="1026"/>
        </w:numPr>
      </w:pPr>
      <w:r>
        <w:t xml:space="preserve">SSL Encryption</w:t>
      </w:r>
    </w:p>
    <w:p>
      <w:pPr>
        <w:pStyle w:val="Compact"/>
        <w:numPr>
          <w:ilvl w:val="0"/>
          <w:numId w:val="1026"/>
        </w:numPr>
      </w:pPr>
      <w:r>
        <w:t xml:space="preserve">Authentication &amp; Authorization</w:t>
      </w:r>
    </w:p>
    <w:p>
      <w:pPr>
        <w:pStyle w:val="Compact"/>
        <w:numPr>
          <w:ilvl w:val="0"/>
          <w:numId w:val="1026"/>
        </w:numPr>
      </w:pPr>
      <w:r>
        <w:t xml:space="preserve">Secure Data Access</w:t>
      </w:r>
    </w:p>
    <w:p>
      <w:r>
        <w:pict>
          <v:rect style="width:0;height:1.5pt" o:hralign="center" o:hrstd="t" o:hr="t"/>
        </w:pict>
      </w:r>
    </w:p>
    <w:bookmarkEnd w:id="46"/>
    <w:bookmarkStart w:id="47" w:name="deliverables"/>
    <w:p>
      <w:pPr>
        <w:pStyle w:val="Heading1"/>
      </w:pPr>
      <w:r>
        <w:t xml:space="preserve">6. Deliverables</w:t>
      </w:r>
    </w:p>
    <w:p>
      <w:pPr>
        <w:pStyle w:val="FirstParagraph"/>
      </w:pPr>
      <w:r>
        <w:t xml:space="preserve">Technobazaar Pvt. Ltd. shall deliver:</w:t>
      </w:r>
    </w:p>
    <w:p>
      <w:pPr>
        <w:pStyle w:val="Compact"/>
        <w:numPr>
          <w:ilvl w:val="0"/>
          <w:numId w:val="1027"/>
        </w:numPr>
      </w:pPr>
      <w:r>
        <w:t xml:space="preserve">Complete Web Application</w:t>
      </w:r>
    </w:p>
    <w:p>
      <w:pPr>
        <w:pStyle w:val="Compact"/>
        <w:numPr>
          <w:ilvl w:val="0"/>
          <w:numId w:val="1027"/>
        </w:numPr>
      </w:pPr>
      <w:r>
        <w:t xml:space="preserve">SQL Database</w:t>
      </w:r>
    </w:p>
    <w:p>
      <w:pPr>
        <w:pStyle w:val="Compact"/>
        <w:numPr>
          <w:ilvl w:val="0"/>
          <w:numId w:val="1027"/>
        </w:numPr>
      </w:pPr>
      <w:r>
        <w:t xml:space="preserve">Source Code</w:t>
      </w:r>
    </w:p>
    <w:p>
      <w:pPr>
        <w:pStyle w:val="Compact"/>
        <w:numPr>
          <w:ilvl w:val="0"/>
          <w:numId w:val="1027"/>
        </w:numPr>
      </w:pPr>
      <w:r>
        <w:t xml:space="preserve">Hosting Deployment</w:t>
      </w:r>
    </w:p>
    <w:p>
      <w:pPr>
        <w:pStyle w:val="Compact"/>
        <w:numPr>
          <w:ilvl w:val="0"/>
          <w:numId w:val="1027"/>
        </w:numPr>
      </w:pPr>
      <w:r>
        <w:t xml:space="preserve">SSL Configuration</w:t>
      </w:r>
    </w:p>
    <w:p>
      <w:pPr>
        <w:pStyle w:val="Compact"/>
        <w:numPr>
          <w:ilvl w:val="0"/>
          <w:numId w:val="1027"/>
        </w:numPr>
      </w:pPr>
      <w:r>
        <w:t xml:space="preserve">SMS Integration</w:t>
      </w:r>
    </w:p>
    <w:p>
      <w:pPr>
        <w:pStyle w:val="Compact"/>
        <w:numPr>
          <w:ilvl w:val="0"/>
          <w:numId w:val="1027"/>
        </w:numPr>
      </w:pPr>
      <w:r>
        <w:t xml:space="preserve">Payment Gateway Integration</w:t>
      </w:r>
    </w:p>
    <w:p>
      <w:pPr>
        <w:pStyle w:val="Compact"/>
        <w:numPr>
          <w:ilvl w:val="0"/>
          <w:numId w:val="1027"/>
        </w:numPr>
      </w:pPr>
      <w:r>
        <w:t xml:space="preserve">User Manual</w:t>
      </w:r>
    </w:p>
    <w:p>
      <w:pPr>
        <w:pStyle w:val="Compact"/>
        <w:numPr>
          <w:ilvl w:val="0"/>
          <w:numId w:val="1027"/>
        </w:numPr>
      </w:pPr>
      <w:r>
        <w:t xml:space="preserve">Administrator Training</w:t>
      </w:r>
    </w:p>
    <w:p>
      <w:pPr>
        <w:pStyle w:val="Compact"/>
        <w:numPr>
          <w:ilvl w:val="0"/>
          <w:numId w:val="1027"/>
        </w:numPr>
      </w:pPr>
      <w:r>
        <w:t xml:space="preserve">Go-Live Support</w:t>
      </w:r>
    </w:p>
    <w:p>
      <w:r>
        <w:pict>
          <v:rect style="width:0;height:1.5pt" o:hralign="center" o:hrstd="t" o:hr="t"/>
        </w:pict>
      </w:r>
    </w:p>
    <w:bookmarkEnd w:id="47"/>
    <w:bookmarkStart w:id="50" w:name="commercial-proposal"/>
    <w:p>
      <w:pPr>
        <w:pStyle w:val="Heading1"/>
      </w:pPr>
      <w:r>
        <w:t xml:space="preserve">7. Commercial Proposal</w:t>
      </w:r>
    </w:p>
    <w:bookmarkStart w:id="48" w:name="software-development-cost"/>
    <w:p>
      <w:pPr>
        <w:pStyle w:val="Heading2"/>
      </w:pPr>
      <w:r>
        <w:t xml:space="preserve">Software Development Cost</w:t>
      </w:r>
    </w:p>
    <w:p>
      <w:pPr>
        <w:pStyle w:val="FirstParagraph"/>
      </w:pPr>
      <w:r>
        <w:t xml:space="preserve">Pet License Management System</w:t>
      </w:r>
    </w:p>
    <w:p>
      <w:pPr>
        <w:pStyle w:val="BodyText"/>
      </w:pPr>
      <w:r>
        <w:t xml:space="preserve">Total Project Cost:</w:t>
      </w:r>
      <w:r>
        <w:t xml:space="preserve"> </w:t>
      </w:r>
      <w:r>
        <w:t xml:space="preserve">₹ 4,50,000/- + GST</w:t>
      </w:r>
    </w:p>
    <w:p>
      <w:pPr>
        <w:pStyle w:val="BodyText"/>
      </w:pPr>
      <w:r>
        <w:t xml:space="preserve">(Including Development, Testing, Deployment, Training &amp; Initial Support)</w:t>
      </w:r>
    </w:p>
    <w:p>
      <w:r>
        <w:pict>
          <v:rect style="width:0;height:1.5pt" o:hralign="center" o:hrstd="t" o:hr="t"/>
        </w:pict>
      </w:r>
    </w:p>
    <w:bookmarkEnd w:id="48"/>
    <w:bookmarkStart w:id="49" w:name="annual-maintenance-contract-amc"/>
    <w:p>
      <w:pPr>
        <w:pStyle w:val="Heading2"/>
      </w:pPr>
      <w:r>
        <w:t xml:space="preserve">Annual Maintenance Contract (AMC)</w:t>
      </w:r>
    </w:p>
    <w:p>
      <w:pPr>
        <w:pStyle w:val="FirstParagraph"/>
      </w:pPr>
      <w:r>
        <w:t xml:space="preserve">Year 2 onwards:</w:t>
      </w:r>
    </w:p>
    <w:p>
      <w:pPr>
        <w:pStyle w:val="BodyText"/>
      </w:pPr>
      <w:r>
        <w:t xml:space="preserve">15% of Project Cost per annum</w:t>
      </w:r>
    </w:p>
    <w:p>
      <w:pPr>
        <w:pStyle w:val="BodyText"/>
      </w:pPr>
      <w:r>
        <w:t xml:space="preserve">Approximate AMC:</w:t>
      </w:r>
      <w:r>
        <w:t xml:space="preserve"> </w:t>
      </w:r>
      <w:r>
        <w:t xml:space="preserve">₹ 67,500/- per Year + GST</w:t>
      </w:r>
    </w:p>
    <w:p>
      <w:pPr>
        <w:pStyle w:val="BodyText"/>
      </w:pPr>
      <w:r>
        <w:t xml:space="preserve">Includes:</w:t>
      </w:r>
    </w:p>
    <w:p>
      <w:pPr>
        <w:pStyle w:val="Compact"/>
        <w:numPr>
          <w:ilvl w:val="0"/>
          <w:numId w:val="1028"/>
        </w:numPr>
      </w:pPr>
      <w:r>
        <w:t xml:space="preserve">Bug Fixes</w:t>
      </w:r>
    </w:p>
    <w:p>
      <w:pPr>
        <w:pStyle w:val="Compact"/>
        <w:numPr>
          <w:ilvl w:val="0"/>
          <w:numId w:val="1028"/>
        </w:numPr>
      </w:pPr>
      <w:r>
        <w:t xml:space="preserve">Minor Enhancements</w:t>
      </w:r>
    </w:p>
    <w:p>
      <w:pPr>
        <w:pStyle w:val="Compact"/>
        <w:numPr>
          <w:ilvl w:val="0"/>
          <w:numId w:val="1028"/>
        </w:numPr>
      </w:pPr>
      <w:r>
        <w:t xml:space="preserve">Technical Support</w:t>
      </w:r>
    </w:p>
    <w:p>
      <w:pPr>
        <w:pStyle w:val="Compact"/>
        <w:numPr>
          <w:ilvl w:val="0"/>
          <w:numId w:val="1028"/>
        </w:numPr>
      </w:pPr>
      <w:r>
        <w:t xml:space="preserve">Server Monitoring Assistance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6" w:name="third-party-charges"/>
    <w:p>
      <w:pPr>
        <w:pStyle w:val="Heading1"/>
      </w:pPr>
      <w:r>
        <w:t xml:space="preserve">8. Third Party Charges</w:t>
      </w:r>
    </w:p>
    <w:p>
      <w:pPr>
        <w:pStyle w:val="FirstParagraph"/>
      </w:pPr>
      <w:r>
        <w:t xml:space="preserve">These charges shall be borne by the client directly.</w:t>
      </w:r>
    </w:p>
    <w:bookmarkStart w:id="51" w:name="domain-registration"/>
    <w:p>
      <w:pPr>
        <w:pStyle w:val="Heading2"/>
      </w:pPr>
      <w:r>
        <w:t xml:space="preserve">Domain Registration</w:t>
      </w:r>
    </w:p>
    <w:p>
      <w:pPr>
        <w:pStyle w:val="FirstParagraph"/>
      </w:pPr>
      <w:r>
        <w:t xml:space="preserve">Approximate Cost:</w:t>
      </w:r>
      <w:r>
        <w:t xml:space="preserve"> </w:t>
      </w:r>
      <w:r>
        <w:t xml:space="preserve">₹ 1,000 – ₹ 2,000 Per Year</w:t>
      </w:r>
    </w:p>
    <w:p>
      <w:r>
        <w:pict>
          <v:rect style="width:0;height:1.5pt" o:hralign="center" o:hrstd="t" o:hr="t"/>
        </w:pict>
      </w:r>
    </w:p>
    <w:bookmarkEnd w:id="51"/>
    <w:bookmarkStart w:id="52" w:name="ssl-certificate"/>
    <w:p>
      <w:pPr>
        <w:pStyle w:val="Heading2"/>
      </w:pPr>
      <w:r>
        <w:t xml:space="preserve">SSL Certificate</w:t>
      </w:r>
    </w:p>
    <w:p>
      <w:pPr>
        <w:pStyle w:val="FirstParagraph"/>
      </w:pPr>
      <w:r>
        <w:t xml:space="preserve">Approximate Cost:</w:t>
      </w:r>
      <w:r>
        <w:t xml:space="preserve"> </w:t>
      </w:r>
      <w:r>
        <w:t xml:space="preserve">₹ 3,000 – ₹ 10,000 Per Year</w:t>
      </w:r>
    </w:p>
    <w:p>
      <w:r>
        <w:pict>
          <v:rect style="width:0;height:1.5pt" o:hralign="center" o:hrstd="t" o:hr="t"/>
        </w:pict>
      </w:r>
    </w:p>
    <w:bookmarkEnd w:id="52"/>
    <w:bookmarkStart w:id="53" w:name="cloud-hosting-server"/>
    <w:p>
      <w:pPr>
        <w:pStyle w:val="Heading2"/>
      </w:pPr>
      <w:r>
        <w:t xml:space="preserve">Cloud Hosting Server</w:t>
      </w:r>
    </w:p>
    <w:p>
      <w:pPr>
        <w:pStyle w:val="FirstParagraph"/>
      </w:pPr>
      <w:r>
        <w:t xml:space="preserve">Recommended Configuration:</w:t>
      </w:r>
    </w:p>
    <w:p>
      <w:pPr>
        <w:pStyle w:val="Compact"/>
        <w:numPr>
          <w:ilvl w:val="0"/>
          <w:numId w:val="1029"/>
        </w:numPr>
      </w:pPr>
      <w:r>
        <w:t xml:space="preserve">Windows Server</w:t>
      </w:r>
    </w:p>
    <w:p>
      <w:pPr>
        <w:pStyle w:val="Compact"/>
        <w:numPr>
          <w:ilvl w:val="0"/>
          <w:numId w:val="1029"/>
        </w:numPr>
      </w:pPr>
      <w:r>
        <w:t xml:space="preserve">IIS Hosting</w:t>
      </w:r>
    </w:p>
    <w:p>
      <w:pPr>
        <w:pStyle w:val="Compact"/>
        <w:numPr>
          <w:ilvl w:val="0"/>
          <w:numId w:val="1029"/>
        </w:numPr>
      </w:pPr>
      <w:r>
        <w:t xml:space="preserve">SQL Server</w:t>
      </w:r>
    </w:p>
    <w:p>
      <w:pPr>
        <w:pStyle w:val="FirstParagraph"/>
      </w:pPr>
      <w:r>
        <w:t xml:space="preserve">Approximate Cost:</w:t>
      </w:r>
    </w:p>
    <w:p>
      <w:pPr>
        <w:pStyle w:val="BodyText"/>
      </w:pPr>
      <w:r>
        <w:t xml:space="preserve">₹ 30,000 – ₹ 60,000 Per Year</w:t>
      </w:r>
    </w:p>
    <w:p>
      <w:r>
        <w:pict>
          <v:rect style="width:0;height:1.5pt" o:hralign="center" o:hrstd="t" o:hr="t"/>
        </w:pict>
      </w:r>
    </w:p>
    <w:bookmarkEnd w:id="53"/>
    <w:bookmarkStart w:id="54" w:name="sms-gateway"/>
    <w:p>
      <w:pPr>
        <w:pStyle w:val="Heading2"/>
      </w:pPr>
      <w:r>
        <w:t xml:space="preserve">SMS Gateway</w:t>
      </w:r>
    </w:p>
    <w:p>
      <w:pPr>
        <w:pStyle w:val="FirstParagraph"/>
      </w:pPr>
      <w:r>
        <w:t xml:space="preserve">Approximate Charges:</w:t>
      </w:r>
    </w:p>
    <w:p>
      <w:pPr>
        <w:pStyle w:val="BodyText"/>
      </w:pPr>
      <w:r>
        <w:t xml:space="preserve">₹ 0.15 – ₹ 0.30 Per SMS</w:t>
      </w:r>
    </w:p>
    <w:p>
      <w:pPr>
        <w:pStyle w:val="BodyText"/>
      </w:pPr>
      <w:r>
        <w:t xml:space="preserve">Example:</w:t>
      </w:r>
    </w:p>
    <w:p>
      <w:pPr>
        <w:pStyle w:val="BodyText"/>
      </w:pPr>
      <w:r>
        <w:t xml:space="preserve">10,000 SMS = ₹ 1,500 – ₹ 3,000</w:t>
      </w:r>
    </w:p>
    <w:p>
      <w:r>
        <w:pict>
          <v:rect style="width:0;height:1.5pt" o:hralign="center" o:hrstd="t" o:hr="t"/>
        </w:pict>
      </w:r>
    </w:p>
    <w:bookmarkEnd w:id="54"/>
    <w:bookmarkStart w:id="55" w:name="payment-gateway-charges"/>
    <w:p>
      <w:pPr>
        <w:pStyle w:val="Heading2"/>
      </w:pPr>
      <w:r>
        <w:t xml:space="preserve">Payment Gateway Charges</w:t>
      </w:r>
    </w:p>
    <w:p>
      <w:pPr>
        <w:pStyle w:val="FirstParagraph"/>
      </w:pPr>
      <w:r>
        <w:t xml:space="preserve">Approximate Transaction Charges:</w:t>
      </w:r>
    </w:p>
    <w:p>
      <w:pPr>
        <w:pStyle w:val="BodyText"/>
      </w:pPr>
      <w:r>
        <w:t xml:space="preserve">2.5% – 3.0% Per Successful Transaction</w:t>
      </w:r>
    </w:p>
    <w:p>
      <w:pPr>
        <w:pStyle w:val="BodyText"/>
      </w:pPr>
      <w:r>
        <w:t xml:space="preserve">Applicable as per payment gateway provider policy.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57" w:name="project-schedule"/>
    <w:p>
      <w:pPr>
        <w:pStyle w:val="Heading1"/>
      </w:pPr>
      <w:r>
        <w:t xml:space="preserve">9. Project Schedule</w:t>
      </w:r>
    </w:p>
    <w:p>
      <w:pPr>
        <w:pStyle w:val="FirstParagraph"/>
      </w:pPr>
      <w:r>
        <w:t xml:space="preserve">Estimated Project Duration:</w:t>
      </w:r>
    </w:p>
    <w:p>
      <w:pPr>
        <w:pStyle w:val="BodyText"/>
      </w:pPr>
      <w:r>
        <w:t xml:space="preserve">10 – 12 Weeks</w:t>
      </w:r>
    </w:p>
    <w:p>
      <w:pPr>
        <w:pStyle w:val="BodyText"/>
      </w:pPr>
      <w:r>
        <w:t xml:space="preserve">Including:</w:t>
      </w:r>
    </w:p>
    <w:p>
      <w:pPr>
        <w:pStyle w:val="Compact"/>
        <w:numPr>
          <w:ilvl w:val="0"/>
          <w:numId w:val="1030"/>
        </w:numPr>
      </w:pPr>
      <w:r>
        <w:t xml:space="preserve">Requirement Finalization</w:t>
      </w:r>
    </w:p>
    <w:p>
      <w:pPr>
        <w:pStyle w:val="Compact"/>
        <w:numPr>
          <w:ilvl w:val="0"/>
          <w:numId w:val="1030"/>
        </w:numPr>
      </w:pPr>
      <w:r>
        <w:t xml:space="preserve">Development</w:t>
      </w:r>
    </w:p>
    <w:p>
      <w:pPr>
        <w:pStyle w:val="Compact"/>
        <w:numPr>
          <w:ilvl w:val="0"/>
          <w:numId w:val="1030"/>
        </w:numPr>
      </w:pPr>
      <w:r>
        <w:t xml:space="preserve">Testing</w:t>
      </w:r>
    </w:p>
    <w:p>
      <w:pPr>
        <w:pStyle w:val="Compact"/>
        <w:numPr>
          <w:ilvl w:val="0"/>
          <w:numId w:val="1030"/>
        </w:numPr>
      </w:pPr>
      <w:r>
        <w:t xml:space="preserve">User Acceptance Testing (UAT)</w:t>
      </w:r>
    </w:p>
    <w:p>
      <w:pPr>
        <w:pStyle w:val="Compact"/>
        <w:numPr>
          <w:ilvl w:val="0"/>
          <w:numId w:val="1030"/>
        </w:numPr>
      </w:pPr>
      <w:r>
        <w:t xml:space="preserve">Training</w:t>
      </w:r>
    </w:p>
    <w:p>
      <w:pPr>
        <w:pStyle w:val="Compact"/>
        <w:numPr>
          <w:ilvl w:val="0"/>
          <w:numId w:val="1030"/>
        </w:numPr>
      </w:pPr>
      <w:r>
        <w:t xml:space="preserve">Go-Live</w:t>
      </w:r>
    </w:p>
    <w:p>
      <w:r>
        <w:pict>
          <v:rect style="width:0;height:1.5pt" o:hralign="center" o:hrstd="t" o:hr="t"/>
        </w:pict>
      </w:r>
    </w:p>
    <w:bookmarkEnd w:id="57"/>
    <w:bookmarkStart w:id="58" w:name="assumptions"/>
    <w:p>
      <w:pPr>
        <w:pStyle w:val="Heading1"/>
      </w:pPr>
      <w:r>
        <w:t xml:space="preserve">10. Assumptions</w:t>
      </w:r>
    </w:p>
    <w:p>
      <w:pPr>
        <w:pStyle w:val="Compact"/>
        <w:numPr>
          <w:ilvl w:val="0"/>
          <w:numId w:val="1031"/>
        </w:numPr>
      </w:pPr>
      <w:r>
        <w:t xml:space="preserve">Domain and hosting shall be arranged by the client.</w:t>
      </w:r>
    </w:p>
    <w:p>
      <w:pPr>
        <w:pStyle w:val="Compact"/>
        <w:numPr>
          <w:ilvl w:val="0"/>
          <w:numId w:val="1031"/>
        </w:numPr>
      </w:pPr>
      <w:r>
        <w:t xml:space="preserve">SMS gateway account shall be provided by the client.</w:t>
      </w:r>
    </w:p>
    <w:p>
      <w:pPr>
        <w:pStyle w:val="Compact"/>
        <w:numPr>
          <w:ilvl w:val="0"/>
          <w:numId w:val="1031"/>
        </w:numPr>
      </w:pPr>
      <w:r>
        <w:t xml:space="preserve">Payment gateway merchant account shall be provided by the client.</w:t>
      </w:r>
    </w:p>
    <w:p>
      <w:pPr>
        <w:pStyle w:val="Compact"/>
        <w:numPr>
          <w:ilvl w:val="0"/>
          <w:numId w:val="1031"/>
        </w:numPr>
      </w:pPr>
      <w:r>
        <w:t xml:space="preserve">Content, branding, and approval inputs shall be provided by Gwalior Nagar Nigam.</w:t>
      </w:r>
    </w:p>
    <w:p>
      <w:pPr>
        <w:pStyle w:val="Compact"/>
        <w:numPr>
          <w:ilvl w:val="0"/>
          <w:numId w:val="1031"/>
        </w:numPr>
      </w:pPr>
      <w:r>
        <w:t xml:space="preserve">Additional features beyond the approved scope shall be treated as Change Requests.</w:t>
      </w:r>
    </w:p>
    <w:p>
      <w:r>
        <w:pict>
          <v:rect style="width:0;height:1.5pt" o:hralign="center" o:hrstd="t" o:hr="t"/>
        </w:pict>
      </w:r>
    </w:p>
    <w:bookmarkEnd w:id="58"/>
    <w:bookmarkStart w:id="59" w:name="warranty-support"/>
    <w:p>
      <w:pPr>
        <w:pStyle w:val="Heading1"/>
      </w:pPr>
      <w:r>
        <w:t xml:space="preserve">11. Warranty &amp; Support</w:t>
      </w:r>
    </w:p>
    <w:p>
      <w:pPr>
        <w:pStyle w:val="FirstParagraph"/>
      </w:pPr>
      <w:r>
        <w:t xml:space="preserve">Technobazaar Pvt. Ltd. shall provide:</w:t>
      </w:r>
    </w:p>
    <w:p>
      <w:pPr>
        <w:pStyle w:val="Compact"/>
        <w:numPr>
          <w:ilvl w:val="0"/>
          <w:numId w:val="1032"/>
        </w:numPr>
      </w:pPr>
      <w:r>
        <w:t xml:space="preserve">3 Months Free Warranty Support</w:t>
      </w:r>
    </w:p>
    <w:p>
      <w:pPr>
        <w:pStyle w:val="Compact"/>
        <w:numPr>
          <w:ilvl w:val="0"/>
          <w:numId w:val="1032"/>
        </w:numPr>
      </w:pPr>
      <w:r>
        <w:t xml:space="preserve">Bug Resolution Support</w:t>
      </w:r>
    </w:p>
    <w:p>
      <w:pPr>
        <w:pStyle w:val="Compact"/>
        <w:numPr>
          <w:ilvl w:val="0"/>
          <w:numId w:val="1032"/>
        </w:numPr>
      </w:pPr>
      <w:r>
        <w:t xml:space="preserve">Deployment Assistance</w:t>
      </w:r>
    </w:p>
    <w:p>
      <w:pPr>
        <w:pStyle w:val="Compact"/>
        <w:numPr>
          <w:ilvl w:val="0"/>
          <w:numId w:val="1032"/>
        </w:numPr>
      </w:pPr>
      <w:r>
        <w:t xml:space="preserve">User Training Support</w:t>
      </w:r>
    </w:p>
    <w:p>
      <w:r>
        <w:pict>
          <v:rect style="width:0;height:1.5pt" o:hralign="center" o:hrstd="t" o:hr="t"/>
        </w:pict>
      </w:r>
    </w:p>
    <w:bookmarkEnd w:id="59"/>
    <w:bookmarkStart w:id="60" w:name="conclusion"/>
    <w:p>
      <w:pPr>
        <w:pStyle w:val="Heading1"/>
      </w:pPr>
      <w:r>
        <w:t xml:space="preserve">12. Conclusion</w:t>
      </w:r>
    </w:p>
    <w:p>
      <w:pPr>
        <w:pStyle w:val="FirstParagraph"/>
      </w:pPr>
      <w:r>
        <w:t xml:space="preserve">The proposed Pet License Management System will provide Gwalior Nagar Nigam with a secure, scalable, and citizen-friendly digital platform for managing pet dog registrations, renewals, payments, notifications, and reporting. The solution will significantly improve operational efficiency, transparency, and revenue management while enhancing citizen services.</w:t>
      </w:r>
    </w:p>
    <w:bookmarkEnd w:id="6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2026-06-14T17:59:13Z</dcterms:created>
  <dcterms:modified xsi:type="dcterms:W3CDTF">2026-06-14T17:59:13Z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